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7D" w:rsidRDefault="0023690A">
      <w:pPr>
        <w:ind w:firstLine="6096"/>
        <w:jc w:val="both"/>
      </w:pPr>
      <w:bookmarkStart w:id="0" w:name="_GoBack"/>
      <w:bookmarkEnd w:id="0"/>
      <w:r>
        <w:t xml:space="preserve">Baigiamųjų darbų rengimo </w:t>
      </w:r>
    </w:p>
    <w:p w:rsidR="0040307D" w:rsidRDefault="0023690A">
      <w:pPr>
        <w:ind w:firstLine="6096"/>
        <w:jc w:val="both"/>
      </w:pPr>
      <w:r>
        <w:t>metodinių rekomendacijų</w:t>
      </w:r>
    </w:p>
    <w:p w:rsidR="0040307D" w:rsidRDefault="0023690A">
      <w:pPr>
        <w:ind w:firstLine="6096"/>
        <w:jc w:val="both"/>
      </w:pPr>
      <w:r>
        <w:t>13 priedas</w:t>
      </w:r>
    </w:p>
    <w:p w:rsidR="0040307D" w:rsidRDefault="0040307D">
      <w:pPr>
        <w:jc w:val="center"/>
        <w:rPr>
          <w:b/>
          <w:sz w:val="20"/>
        </w:rPr>
      </w:pPr>
    </w:p>
    <w:p w:rsidR="0040307D" w:rsidRDefault="0023690A">
      <w:pPr>
        <w:jc w:val="center"/>
        <w:rPr>
          <w:b/>
        </w:rPr>
      </w:pPr>
      <w:r>
        <w:rPr>
          <w:b/>
        </w:rPr>
        <w:t>(Bibliografinių nuorodų sąrašo įforminimo pavyzdys)</w:t>
      </w:r>
    </w:p>
    <w:p w:rsidR="0040307D" w:rsidRDefault="0040307D">
      <w:pPr>
        <w:pStyle w:val="Pagrindiniotekstotrauka"/>
        <w:jc w:val="center"/>
        <w:rPr>
          <w:b/>
          <w:sz w:val="16"/>
          <w:szCs w:val="16"/>
          <w:highlight w:val="yellow"/>
        </w:rPr>
      </w:pPr>
    </w:p>
    <w:p w:rsidR="0040307D" w:rsidRDefault="0023690A">
      <w:pPr>
        <w:pStyle w:val="Pagrindiniotekstotrau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BIBLIOGRAFINIŲ NUORODŲ SĄRAŠAS</w:t>
      </w:r>
    </w:p>
    <w:p w:rsidR="0040307D" w:rsidRDefault="0040307D">
      <w:pPr>
        <w:pStyle w:val="Pagrindiniotekstotrauka"/>
        <w:jc w:val="center"/>
        <w:rPr>
          <w:b/>
          <w:sz w:val="16"/>
          <w:szCs w:val="16"/>
        </w:rPr>
      </w:pP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i/>
          <w:color w:val="000000"/>
        </w:rPr>
        <w:t>Dokumentų rengimo taisyklės.</w:t>
      </w:r>
      <w:r>
        <w:rPr>
          <w:color w:val="000000"/>
        </w:rPr>
        <w:t xml:space="preserve"> (2020). </w:t>
      </w:r>
      <w:r>
        <w:rPr>
          <w:color w:val="000000"/>
          <w:shd w:val="clear" w:color="auto" w:fill="FFFFFF"/>
        </w:rPr>
        <w:t>Žiūrėta 2019-10-10 internete:</w:t>
      </w:r>
      <w:r>
        <w:t xml:space="preserve"> </w:t>
      </w:r>
      <w:r>
        <w:rPr>
          <w:shd w:val="clear" w:color="auto" w:fill="FFFFFF"/>
        </w:rPr>
        <w:t xml:space="preserve">https://www.e-tar.lt/portal/lt/legalAct/TAR.E60E6A140217/asr. 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Domarkas, V. (2011). </w:t>
      </w:r>
      <w:r>
        <w:rPr>
          <w:iCs/>
          <w:color w:val="000000"/>
        </w:rPr>
        <w:t>Viešojo administravimo paradigmos kaitos atspindžiai dešimtmečio pabaigos publikacijose</w:t>
      </w:r>
      <w:r>
        <w:rPr>
          <w:color w:val="000000"/>
        </w:rPr>
        <w:t xml:space="preserve">. </w:t>
      </w:r>
      <w:r>
        <w:rPr>
          <w:i/>
          <w:color w:val="000000"/>
        </w:rPr>
        <w:t>Viešoji politika ir administravimas</w:t>
      </w:r>
      <w:r>
        <w:rPr>
          <w:color w:val="000000"/>
        </w:rPr>
        <w:t xml:space="preserve">, </w:t>
      </w:r>
      <w:r>
        <w:rPr>
          <w:i/>
          <w:color w:val="000000"/>
        </w:rPr>
        <w:t xml:space="preserve">10 </w:t>
      </w:r>
      <w:r>
        <w:rPr>
          <w:color w:val="000000"/>
        </w:rPr>
        <w:t>(1), 9–16.</w:t>
      </w:r>
      <w:r>
        <w:t xml:space="preserve"> Žiūrėta 2019-10-10 internete: https://www.mruni.eu/lt/mokslo_darbai/vpa/archyvas/.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Gražulis, V., </w:t>
      </w:r>
      <w:proofErr w:type="spellStart"/>
      <w:r>
        <w:rPr>
          <w:color w:val="000000"/>
        </w:rPr>
        <w:t>Račelytė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Dačiulytė</w:t>
      </w:r>
      <w:proofErr w:type="spellEnd"/>
      <w:r>
        <w:rPr>
          <w:color w:val="000000"/>
        </w:rPr>
        <w:t xml:space="preserve">, R., Valickas, A., </w:t>
      </w:r>
      <w:proofErr w:type="spellStart"/>
      <w:r>
        <w:rPr>
          <w:color w:val="000000"/>
        </w:rPr>
        <w:t>Adamonienė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Sudnickas</w:t>
      </w:r>
      <w:proofErr w:type="spellEnd"/>
      <w:r w:rsidR="002B4594">
        <w:rPr>
          <w:color w:val="000000"/>
        </w:rPr>
        <w:t>,</w:t>
      </w:r>
      <w:r>
        <w:rPr>
          <w:color w:val="000000"/>
        </w:rPr>
        <w:t xml:space="preserve"> T., ir </w:t>
      </w:r>
      <w:proofErr w:type="spellStart"/>
      <w:r>
        <w:rPr>
          <w:color w:val="000000"/>
        </w:rPr>
        <w:t>Raišienė</w:t>
      </w:r>
      <w:proofErr w:type="spellEnd"/>
      <w:r>
        <w:rPr>
          <w:color w:val="000000"/>
        </w:rPr>
        <w:t xml:space="preserve">, A. G. (2015). </w:t>
      </w:r>
      <w:r>
        <w:rPr>
          <w:i/>
          <w:iCs/>
          <w:color w:val="000000"/>
        </w:rPr>
        <w:t>Žmogiškųjų išteklių valdymas.</w:t>
      </w:r>
      <w:r>
        <w:rPr>
          <w:color w:val="000000"/>
        </w:rPr>
        <w:t xml:space="preserve"> Vilnius: Mykolo Romerio universitetas.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Gražulis, V., Valickas, A., </w:t>
      </w:r>
      <w:proofErr w:type="spellStart"/>
      <w:r>
        <w:rPr>
          <w:color w:val="000000"/>
        </w:rPr>
        <w:t>Dačiulytė</w:t>
      </w:r>
      <w:proofErr w:type="spellEnd"/>
      <w:r>
        <w:rPr>
          <w:color w:val="000000"/>
        </w:rPr>
        <w:t xml:space="preserve">, R., ir </w:t>
      </w:r>
      <w:proofErr w:type="spellStart"/>
      <w:r>
        <w:rPr>
          <w:color w:val="000000"/>
        </w:rPr>
        <w:t>Sudnickas</w:t>
      </w:r>
      <w:proofErr w:type="spellEnd"/>
      <w:r>
        <w:rPr>
          <w:color w:val="000000"/>
        </w:rPr>
        <w:t xml:space="preserve">, T. (2012). </w:t>
      </w:r>
      <w:r>
        <w:rPr>
          <w:i/>
          <w:iCs/>
          <w:color w:val="000000"/>
        </w:rPr>
        <w:t>Darbuotojas organizacijos koordinačių sistemoje, žmogiškojo potencialo vystymo perspektyvos.</w:t>
      </w:r>
      <w:r>
        <w:rPr>
          <w:color w:val="000000"/>
        </w:rPr>
        <w:t xml:space="preserve"> Vilnius: Mykolo Romerio universitetas.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i/>
          <w:color w:val="000000"/>
        </w:rPr>
        <w:t>Lietuvos Respublikos dokumentų ir archyvų įstatymas.</w:t>
      </w:r>
      <w:r>
        <w:rPr>
          <w:color w:val="000000"/>
        </w:rPr>
        <w:t xml:space="preserve"> (2020). </w:t>
      </w:r>
      <w:r>
        <w:rPr>
          <w:color w:val="000000"/>
          <w:shd w:val="clear" w:color="auto" w:fill="FFFFFF"/>
        </w:rPr>
        <w:t>Žiūrėta 2019-10-10 internete:</w:t>
      </w:r>
      <w:r>
        <w:t xml:space="preserve"> https://www.e-tar.lt/portal/lt/legalAct/TAR.1FEF229DA7C6/asr</w:t>
      </w:r>
      <w:r>
        <w:rPr>
          <w:rStyle w:val="Internetosaitas"/>
          <w:u w:val="none"/>
        </w:rPr>
        <w:t>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Lipinskienė</w:t>
      </w:r>
      <w:proofErr w:type="spellEnd"/>
      <w:r>
        <w:rPr>
          <w:color w:val="000000"/>
        </w:rPr>
        <w:t xml:space="preserve">, D. (2012). </w:t>
      </w:r>
      <w:r>
        <w:rPr>
          <w:i/>
          <w:iCs/>
          <w:color w:val="000000"/>
        </w:rPr>
        <w:t>Personalo vadyba.</w:t>
      </w:r>
      <w:r>
        <w:rPr>
          <w:color w:val="000000"/>
        </w:rPr>
        <w:t xml:space="preserve"> Klaipėda: Viešoji įstaiga Socialinių mokslų kolegija.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Marcinkevičiūtė, L. (2010). </w:t>
      </w:r>
      <w:r>
        <w:rPr>
          <w:i/>
          <w:iCs/>
          <w:color w:val="000000"/>
        </w:rPr>
        <w:t>Darbuotojų motyvavimo modeliai: teoriniai ir praktiniai aspektai:</w:t>
      </w:r>
      <w:r>
        <w:rPr>
          <w:color w:val="000000"/>
        </w:rPr>
        <w:t xml:space="preserve"> </w:t>
      </w:r>
      <w:r>
        <w:rPr>
          <w:i/>
          <w:color w:val="000000"/>
        </w:rPr>
        <w:t>monografija.</w:t>
      </w:r>
      <w:r>
        <w:rPr>
          <w:color w:val="000000"/>
        </w:rPr>
        <w:t xml:space="preserve"> Kaunas: Akademija.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Sakalas, A., </w:t>
      </w:r>
      <w:proofErr w:type="spellStart"/>
      <w:r>
        <w:rPr>
          <w:color w:val="000000"/>
        </w:rPr>
        <w:t>Savanevičienė</w:t>
      </w:r>
      <w:proofErr w:type="spellEnd"/>
      <w:r>
        <w:rPr>
          <w:color w:val="000000"/>
        </w:rPr>
        <w:t xml:space="preserve">, A., ir </w:t>
      </w:r>
      <w:proofErr w:type="spellStart"/>
      <w:r>
        <w:rPr>
          <w:color w:val="000000"/>
        </w:rPr>
        <w:t>Girdauskienė</w:t>
      </w:r>
      <w:proofErr w:type="spellEnd"/>
      <w:r>
        <w:rPr>
          <w:color w:val="000000"/>
        </w:rPr>
        <w:t xml:space="preserve">, L. (2016). </w:t>
      </w:r>
      <w:r>
        <w:rPr>
          <w:i/>
          <w:iCs/>
          <w:color w:val="000000"/>
        </w:rPr>
        <w:t>Pokyčių valdymas</w:t>
      </w:r>
      <w:r>
        <w:rPr>
          <w:color w:val="000000"/>
        </w:rPr>
        <w:t xml:space="preserve">: </w:t>
      </w:r>
      <w:r>
        <w:rPr>
          <w:i/>
          <w:color w:val="000000"/>
        </w:rPr>
        <w:t>vadovėlis.</w:t>
      </w:r>
      <w:r>
        <w:rPr>
          <w:color w:val="000000"/>
        </w:rPr>
        <w:t xml:space="preserve"> Kaunas: Technologija. </w:t>
      </w:r>
    </w:p>
    <w:p w:rsidR="0040307D" w:rsidRDefault="0023690A">
      <w:pPr>
        <w:numPr>
          <w:ilvl w:val="0"/>
          <w:numId w:val="1"/>
        </w:numPr>
        <w:tabs>
          <w:tab w:val="left" w:pos="1134"/>
        </w:tabs>
        <w:spacing w:line="312" w:lineRule="auto"/>
        <w:ind w:left="0" w:firstLine="851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Scheers</w:t>
      </w:r>
      <w:proofErr w:type="spellEnd"/>
      <w:r>
        <w:rPr>
          <w:color w:val="000000"/>
          <w:lang w:val="en-US"/>
        </w:rPr>
        <w:t xml:space="preserve">, L., </w:t>
      </w:r>
      <w:r>
        <w:rPr>
          <w:color w:val="000000"/>
        </w:rPr>
        <w:t>ir</w:t>
      </w:r>
      <w:r>
        <w:rPr>
          <w:color w:val="000000"/>
          <w:lang w:val="en-US"/>
        </w:rPr>
        <w:t xml:space="preserve"> Botha, J. (2014</w:t>
      </w:r>
      <w:r>
        <w:rPr>
          <w:i/>
          <w:iCs/>
          <w:color w:val="000000"/>
          <w:lang w:val="en-US"/>
        </w:rPr>
        <w:t xml:space="preserve">). </w:t>
      </w:r>
      <w:proofErr w:type="spellStart"/>
      <w:r>
        <w:rPr>
          <w:iCs/>
          <w:color w:val="000000"/>
          <w:lang w:val="en-US"/>
        </w:rPr>
        <w:t>Analysing</w:t>
      </w:r>
      <w:proofErr w:type="spellEnd"/>
      <w:r>
        <w:rPr>
          <w:iCs/>
          <w:color w:val="000000"/>
          <w:lang w:val="en-US"/>
        </w:rPr>
        <w:t xml:space="preserve"> relationship between employee job satisfaction and motivation</w:t>
      </w:r>
      <w:r>
        <w:rPr>
          <w:color w:val="000000"/>
          <w:lang w:val="en-US"/>
        </w:rPr>
        <w:t xml:space="preserve">. </w:t>
      </w:r>
      <w:r>
        <w:rPr>
          <w:i/>
          <w:color w:val="000000"/>
          <w:lang w:val="en-US"/>
        </w:rPr>
        <w:t>Journal of Business &amp; Retail Management Research</w:t>
      </w:r>
      <w:r>
        <w:rPr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 xml:space="preserve">9 </w:t>
      </w:r>
      <w:r>
        <w:rPr>
          <w:color w:val="000000"/>
          <w:lang w:val="en-US"/>
        </w:rPr>
        <w:t>(1)</w:t>
      </w:r>
      <w:r>
        <w:rPr>
          <w:i/>
          <w:color w:val="000000"/>
          <w:lang w:val="en-US"/>
        </w:rPr>
        <w:t xml:space="preserve">, </w:t>
      </w:r>
      <w:r>
        <w:rPr>
          <w:color w:val="000000"/>
          <w:lang w:val="en-US"/>
        </w:rPr>
        <w:t>98–109.</w:t>
      </w:r>
      <w:r>
        <w:rPr>
          <w:color w:val="000000"/>
        </w:rPr>
        <w:t xml:space="preserve"> Žiūrėta 2020-02-13 internete: https://www.jbrmr.com/cdn/article_file/i-20_c-186.pdf.</w:t>
      </w:r>
    </w:p>
    <w:p w:rsidR="0040307D" w:rsidRDefault="0023690A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Vaitkevičiūtė</w:t>
      </w:r>
      <w:proofErr w:type="spellEnd"/>
      <w:r>
        <w:rPr>
          <w:color w:val="000000"/>
        </w:rPr>
        <w:t>, V.</w:t>
      </w:r>
      <w:r>
        <w:rPr>
          <w:i/>
          <w:color w:val="000000"/>
        </w:rPr>
        <w:t xml:space="preserve"> </w:t>
      </w:r>
      <w:r>
        <w:rPr>
          <w:color w:val="000000" w:themeColor="text1"/>
        </w:rPr>
        <w:t xml:space="preserve">(2007). </w:t>
      </w:r>
      <w:r>
        <w:rPr>
          <w:i/>
          <w:color w:val="000000"/>
        </w:rPr>
        <w:t xml:space="preserve">Tarptautinių žodžių žodynas </w:t>
      </w:r>
      <w:r>
        <w:rPr>
          <w:color w:val="000000" w:themeColor="text1"/>
        </w:rPr>
        <w:t>(4-as leid.). Vilnius: Žodynas.</w:t>
      </w:r>
    </w:p>
    <w:p w:rsidR="0040307D" w:rsidRDefault="0023690A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Vingrienė</w:t>
      </w:r>
      <w:proofErr w:type="spellEnd"/>
      <w:r>
        <w:rPr>
          <w:color w:val="000000"/>
        </w:rPr>
        <w:t xml:space="preserve">, D. (2012). </w:t>
      </w:r>
      <w:r>
        <w:rPr>
          <w:iCs/>
          <w:color w:val="000000"/>
        </w:rPr>
        <w:t>Darbuotojų darbo motyvacijos ir pasitenkinimo darbu sąsajos.</w:t>
      </w:r>
      <w:r>
        <w:rPr>
          <w:color w:val="000000"/>
        </w:rPr>
        <w:t xml:space="preserve"> </w:t>
      </w:r>
      <w:r>
        <w:rPr>
          <w:i/>
          <w:color w:val="000000"/>
        </w:rPr>
        <w:t>Regionų formavimo ir plėtros studijos,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1 </w:t>
      </w:r>
      <w:r>
        <w:rPr>
          <w:color w:val="000000"/>
        </w:rPr>
        <w:t xml:space="preserve">(6), 161–170. Žiūrėta 2019-10-10 internete: </w:t>
      </w:r>
      <w:r>
        <w:t>http://journals.ku.lt/index.php/RFDS/article/view/544/433</w:t>
      </w:r>
      <w:r>
        <w:rPr>
          <w:color w:val="000000"/>
        </w:rPr>
        <w:t>.</w:t>
      </w:r>
    </w:p>
    <w:p w:rsidR="0040307D" w:rsidRPr="0023690A" w:rsidRDefault="0023690A">
      <w:pPr>
        <w:numPr>
          <w:ilvl w:val="0"/>
          <w:numId w:val="1"/>
        </w:numPr>
        <w:tabs>
          <w:tab w:val="left" w:pos="1276"/>
        </w:tabs>
        <w:spacing w:line="312" w:lineRule="auto"/>
        <w:ind w:firstLine="71"/>
        <w:jc w:val="both"/>
      </w:pPr>
      <w:r w:rsidRPr="0023690A">
        <w:rPr>
          <w:lang w:val="ru-RU"/>
        </w:rPr>
        <w:t>Андреева</w:t>
      </w:r>
      <w:r w:rsidRPr="0023690A">
        <w:t>,</w:t>
      </w:r>
      <w:r w:rsidRPr="0023690A">
        <w:rPr>
          <w:lang w:val="ru-RU"/>
        </w:rPr>
        <w:t xml:space="preserve"> Г.</w:t>
      </w:r>
      <w:r w:rsidRPr="0023690A">
        <w:t>, </w:t>
      </w:r>
      <w:r w:rsidRPr="0023690A">
        <w:rPr>
          <w:lang w:val="ru-RU"/>
        </w:rPr>
        <w:t xml:space="preserve">А. </w:t>
      </w:r>
      <w:r w:rsidRPr="0023690A">
        <w:t xml:space="preserve">(2010). </w:t>
      </w:r>
      <w:r w:rsidRPr="0023690A">
        <w:rPr>
          <w:i/>
          <w:lang w:val="ru-RU"/>
        </w:rPr>
        <w:t>Социальная психология.</w:t>
      </w:r>
      <w:r w:rsidRPr="0023690A">
        <w:rPr>
          <w:lang w:val="ru-RU"/>
        </w:rPr>
        <w:t xml:space="preserve"> Москва:</w:t>
      </w:r>
      <w:r w:rsidRPr="0023690A">
        <w:t xml:space="preserve"> </w:t>
      </w:r>
      <w:r w:rsidRPr="0023690A">
        <w:rPr>
          <w:lang w:val="ru-RU"/>
        </w:rPr>
        <w:t>Аспект пресс</w:t>
      </w:r>
      <w:r w:rsidRPr="0023690A">
        <w:t>.</w:t>
      </w:r>
    </w:p>
    <w:p w:rsidR="0040307D" w:rsidRDefault="0023690A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</w:pPr>
      <w:r w:rsidRPr="0023690A">
        <w:rPr>
          <w:lang w:val="ru-RU"/>
        </w:rPr>
        <w:t>Гусев</w:t>
      </w:r>
      <w:r w:rsidRPr="0023690A">
        <w:t>,</w:t>
      </w:r>
      <w:r w:rsidRPr="0023690A">
        <w:rPr>
          <w:lang w:val="ru-RU"/>
        </w:rPr>
        <w:t xml:space="preserve"> </w:t>
      </w:r>
      <w:r w:rsidRPr="0023690A">
        <w:t>А. Н</w:t>
      </w:r>
      <w:r w:rsidRPr="0023690A">
        <w:rPr>
          <w:lang w:val="ru-RU"/>
        </w:rPr>
        <w:t>., Уточкин</w:t>
      </w:r>
      <w:r w:rsidRPr="0023690A">
        <w:t>,</w:t>
      </w:r>
      <w:r w:rsidRPr="0023690A">
        <w:rPr>
          <w:lang w:val="ru-RU"/>
        </w:rPr>
        <w:t xml:space="preserve"> </w:t>
      </w:r>
      <w:r w:rsidRPr="0023690A">
        <w:t>И. С</w:t>
      </w:r>
      <w:r w:rsidRPr="0023690A">
        <w:rPr>
          <w:lang w:val="ru-RU"/>
        </w:rPr>
        <w:t xml:space="preserve">. </w:t>
      </w:r>
      <w:r w:rsidRPr="0023690A">
        <w:t xml:space="preserve">(2011). </w:t>
      </w:r>
      <w:r w:rsidRPr="0023690A">
        <w:rPr>
          <w:i/>
          <w:lang w:val="ru-RU"/>
        </w:rPr>
        <w:t>Психологические измерения: Теория.</w:t>
      </w:r>
      <w:r>
        <w:rPr>
          <w:i/>
          <w:lang w:val="ru-RU"/>
        </w:rPr>
        <w:t xml:space="preserve"> Методы.</w:t>
      </w:r>
      <w:r>
        <w:rPr>
          <w:lang w:val="ru-RU"/>
        </w:rPr>
        <w:t xml:space="preserve"> Москва:</w:t>
      </w:r>
      <w:r>
        <w:t xml:space="preserve"> </w:t>
      </w:r>
      <w:r>
        <w:rPr>
          <w:lang w:val="ru-RU"/>
        </w:rPr>
        <w:t>Аспект-Пресс.</w:t>
      </w:r>
    </w:p>
    <w:p w:rsidR="0040307D" w:rsidRDefault="0023690A">
      <w:pPr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44C3346">
                <wp:simplePos x="0" y="0"/>
                <wp:positionH relativeFrom="column">
                  <wp:posOffset>33655</wp:posOffset>
                </wp:positionH>
                <wp:positionV relativeFrom="paragraph">
                  <wp:posOffset>136525</wp:posOffset>
                </wp:positionV>
                <wp:extent cx="1849120" cy="1270"/>
                <wp:effectExtent l="0" t="0" r="19050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60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84252" id="Tiesioji jungtis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65pt,10.75pt" to="14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" strokecolor="black [3040]"/>
            </w:pict>
          </mc:Fallback>
        </mc:AlternateContent>
      </w:r>
    </w:p>
    <w:p w:rsidR="0040307D" w:rsidRDefault="0023690A">
      <w:pPr>
        <w:tabs>
          <w:tab w:val="left" w:pos="1134"/>
        </w:tabs>
        <w:jc w:val="both"/>
      </w:pPr>
      <w:r>
        <w:rPr>
          <w:sz w:val="20"/>
          <w:szCs w:val="20"/>
        </w:rPr>
        <w:t xml:space="preserve">Daugiau įvairių šaltinių bibliografinių aprašų pavyzdžių pateikta </w:t>
      </w:r>
      <w:r>
        <w:rPr>
          <w:i/>
          <w:sz w:val="20"/>
          <w:szCs w:val="20"/>
        </w:rPr>
        <w:t>Baigiamojo darbo rengimo, gynimo ir vertinimo tvarkos apraše</w:t>
      </w:r>
      <w:r>
        <w:rPr>
          <w:sz w:val="20"/>
          <w:szCs w:val="20"/>
        </w:rPr>
        <w:t>, patvirtintame Akademinės tarybos 2019 m. gruodžio 6 d. nutarimu Nr. ATN-30 „</w:t>
      </w:r>
      <w:r>
        <w:rPr>
          <w:color w:val="000000"/>
          <w:sz w:val="20"/>
          <w:szCs w:val="20"/>
          <w:shd w:val="clear" w:color="auto" w:fill="FFFFFF"/>
        </w:rPr>
        <w:t>Dėl Šiaulių valstybinės kolegijos Verslo ir technologijų fakulteto Verslo ir viešosios vadybos bei Socialinių mokslų studijų krypčių grupių programų baigiamojo darbo rengimo, gynimo ir vertinimo tvarkos aprašo patvirtinimo</w:t>
      </w:r>
      <w:r>
        <w:rPr>
          <w:sz w:val="20"/>
          <w:szCs w:val="20"/>
        </w:rPr>
        <w:t>“.</w:t>
      </w:r>
    </w:p>
    <w:sectPr w:rsidR="0040307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1B2B"/>
    <w:multiLevelType w:val="multilevel"/>
    <w:tmpl w:val="FA7E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846EF"/>
    <w:multiLevelType w:val="multilevel"/>
    <w:tmpl w:val="E94207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7D"/>
    <w:rsid w:val="000E6850"/>
    <w:rsid w:val="0023690A"/>
    <w:rsid w:val="002B4594"/>
    <w:rsid w:val="0040307D"/>
    <w:rsid w:val="00C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4020-2F93-4B84-8B22-8BA22C33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5D2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otekstotraukaDiagrama">
    <w:name w:val="Pagrindinio teksto įtrauka Diagrama"/>
    <w:basedOn w:val="Numatytasispastraiposriftas"/>
    <w:link w:val="Pagrindiniotekstotrauka"/>
    <w:qFormat/>
    <w:rsid w:val="00C55D28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Internetosaitas">
    <w:name w:val="Interneto saitas"/>
    <w:uiPriority w:val="99"/>
    <w:rsid w:val="00C55D28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qFormat/>
    <w:rsid w:val="003B70D3"/>
    <w:rPr>
      <w:color w:val="800080" w:themeColor="followedHyperlink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grindiniotekstotrauka">
    <w:name w:val="Body Text Indent"/>
    <w:basedOn w:val="prastasis"/>
    <w:link w:val="PagrindiniotekstotraukaDiagrama"/>
    <w:rsid w:val="00C55D28"/>
    <w:pPr>
      <w:spacing w:after="120"/>
      <w:ind w:left="283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2248</Characters>
  <Application>Microsoft Office Word</Application>
  <DocSecurity>0</DocSecurity>
  <Lines>48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</dc:creator>
  <dc:description/>
  <cp:lastModifiedBy>Vartotojas</cp:lastModifiedBy>
  <cp:revision>2</cp:revision>
  <cp:lastPrinted>2020-03-04T08:58:00Z</cp:lastPrinted>
  <dcterms:created xsi:type="dcterms:W3CDTF">2020-04-14T06:50:00Z</dcterms:created>
  <dcterms:modified xsi:type="dcterms:W3CDTF">2020-04-14T06:50:00Z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